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EF" w:rsidRDefault="00B002EF" w:rsidP="00B002EF">
      <w:pPr>
        <w:jc w:val="both"/>
      </w:pPr>
    </w:p>
    <w:p w:rsidR="00B002EF" w:rsidRPr="002E22E5" w:rsidRDefault="00B002EF" w:rsidP="00B002EF">
      <w:pPr>
        <w:jc w:val="center"/>
        <w:rPr>
          <w:rFonts w:ascii="Arial" w:hAnsi="Arial" w:cs="Arial"/>
          <w:color w:val="000000"/>
          <w:sz w:val="36"/>
          <w:szCs w:val="36"/>
          <w:shd w:val="clear" w:color="auto" w:fill="FFFFFF"/>
        </w:rPr>
      </w:pPr>
      <w:r w:rsidRPr="002E22E5">
        <w:rPr>
          <w:rFonts w:ascii="Arial" w:hAnsi="Arial" w:cs="Arial"/>
          <w:color w:val="000000"/>
          <w:sz w:val="36"/>
          <w:szCs w:val="36"/>
          <w:shd w:val="clear" w:color="auto" w:fill="FFFFFF"/>
        </w:rPr>
        <w:t>ENSAYO BITÁCORA 8</w:t>
      </w:r>
    </w:p>
    <w:p w:rsidR="00B002EF" w:rsidRPr="002E22E5" w:rsidRDefault="00B002EF" w:rsidP="00B002EF">
      <w:pPr>
        <w:jc w:val="center"/>
        <w:rPr>
          <w:rFonts w:ascii="Arial" w:hAnsi="Arial" w:cs="Arial"/>
          <w:color w:val="000000"/>
          <w:sz w:val="36"/>
          <w:szCs w:val="36"/>
          <w:shd w:val="clear" w:color="auto" w:fill="FFFFFF"/>
        </w:rPr>
      </w:pPr>
      <w:r w:rsidRPr="002E22E5">
        <w:rPr>
          <w:rFonts w:ascii="Arial" w:hAnsi="Arial" w:cs="Arial"/>
          <w:color w:val="000000"/>
          <w:sz w:val="36"/>
          <w:szCs w:val="36"/>
          <w:shd w:val="clear" w:color="auto" w:fill="FFFFFF"/>
        </w:rPr>
        <w:t>GRUPO DE INVESTIGACIÓN LUNALASA</w:t>
      </w:r>
    </w:p>
    <w:p w:rsidR="00B002EF" w:rsidRPr="002E22E5" w:rsidRDefault="00B002EF" w:rsidP="00B002EF">
      <w:pPr>
        <w:rPr>
          <w:rFonts w:ascii="Arial" w:hAnsi="Arial" w:cs="Arial"/>
          <w:sz w:val="24"/>
          <w:szCs w:val="24"/>
        </w:rPr>
      </w:pPr>
      <w:r w:rsidRPr="002E22E5">
        <w:rPr>
          <w:rFonts w:ascii="Arial" w:hAnsi="Arial" w:cs="Arial"/>
          <w:color w:val="000000"/>
          <w:sz w:val="24"/>
          <w:szCs w:val="24"/>
          <w:shd w:val="clear" w:color="auto" w:fill="FFFFFF"/>
        </w:rPr>
        <w:t xml:space="preserve">Por </w:t>
      </w:r>
      <w:proofErr w:type="spellStart"/>
      <w:r w:rsidRPr="002E22E5">
        <w:rPr>
          <w:rFonts w:ascii="Arial" w:hAnsi="Arial" w:cs="Arial"/>
          <w:color w:val="000000"/>
          <w:sz w:val="24"/>
          <w:szCs w:val="24"/>
          <w:shd w:val="clear" w:color="auto" w:fill="FFFFFF"/>
        </w:rPr>
        <w:t>Jhaneth</w:t>
      </w:r>
      <w:proofErr w:type="spellEnd"/>
      <w:r w:rsidRPr="002E22E5">
        <w:rPr>
          <w:rFonts w:ascii="Arial" w:hAnsi="Arial" w:cs="Arial"/>
          <w:color w:val="000000"/>
          <w:sz w:val="24"/>
          <w:szCs w:val="24"/>
          <w:shd w:val="clear" w:color="auto" w:fill="FFFFFF"/>
        </w:rPr>
        <w:t xml:space="preserve"> Patricia Barbosa</w:t>
      </w:r>
    </w:p>
    <w:p w:rsidR="00B002EF" w:rsidRPr="002E22E5" w:rsidRDefault="00B002EF" w:rsidP="00B002EF">
      <w:pPr>
        <w:jc w:val="both"/>
        <w:rPr>
          <w:rFonts w:ascii="Arial" w:hAnsi="Arial" w:cs="Arial"/>
          <w:sz w:val="24"/>
          <w:szCs w:val="24"/>
        </w:rPr>
      </w:pPr>
    </w:p>
    <w:p w:rsidR="00223B97" w:rsidRPr="002E22E5" w:rsidRDefault="00B002EF" w:rsidP="00B002EF">
      <w:pPr>
        <w:jc w:val="both"/>
        <w:rPr>
          <w:rFonts w:ascii="Arial" w:hAnsi="Arial" w:cs="Arial"/>
          <w:sz w:val="24"/>
          <w:szCs w:val="24"/>
        </w:rPr>
      </w:pPr>
      <w:r w:rsidRPr="002E22E5">
        <w:rPr>
          <w:rFonts w:ascii="Arial" w:hAnsi="Arial" w:cs="Arial"/>
          <w:sz w:val="24"/>
          <w:szCs w:val="24"/>
        </w:rPr>
        <w:t xml:space="preserve">El proyecto Los Tesoros del Sabor, grupo de investigación LUNALASA, Colegio La Salle de Ocaña, nace como estrategia lúdica recreativa del semillero de culinaria con participación de estudiantes de diversos grados que demostraron interés por este tema. A partir de preguntas surgidas, </w:t>
      </w:r>
      <w:r w:rsidR="002C5F51" w:rsidRPr="002E22E5">
        <w:rPr>
          <w:rFonts w:ascii="Arial" w:hAnsi="Arial" w:cs="Arial"/>
          <w:sz w:val="24"/>
          <w:szCs w:val="24"/>
        </w:rPr>
        <w:t xml:space="preserve">iniciamos una búsqueda permanente de </w:t>
      </w:r>
      <w:r w:rsidRPr="002E22E5">
        <w:rPr>
          <w:rFonts w:ascii="Arial" w:hAnsi="Arial" w:cs="Arial"/>
          <w:sz w:val="24"/>
          <w:szCs w:val="24"/>
        </w:rPr>
        <w:t>su solución y selección de la pregunta de investigación: ¿Qué recetas raras y nutritivas existen y no conocemos de los abuelos del Colegio La Salle?, se detectaron problemas frecuentes en la alimentación de las familias, como poco consumo de frutas y vegetales; consumo excesivo de comidas rápidas y dulces artificiales; malos hábitos en cuanto a horarios de alimentos, el no desayunar antes de ir al colegio y gran cantidad de harinas incorporadas en la dieta diaria. La metodología es acción participativa, porque se involucra a toda la comunidad. Empleándose la entrevista a los abuelos como instrumento de recolección</w:t>
      </w:r>
      <w:r w:rsidR="002C5F51" w:rsidRPr="002E22E5">
        <w:rPr>
          <w:rFonts w:ascii="Arial" w:hAnsi="Arial" w:cs="Arial"/>
          <w:sz w:val="24"/>
          <w:szCs w:val="24"/>
        </w:rPr>
        <w:t xml:space="preserve"> de información</w:t>
      </w:r>
      <w:r w:rsidRPr="002E22E5">
        <w:rPr>
          <w:rFonts w:ascii="Arial" w:hAnsi="Arial" w:cs="Arial"/>
          <w:sz w:val="24"/>
          <w:szCs w:val="24"/>
        </w:rPr>
        <w:t>. La socialización se realizó mediante diversas ferias al igual que la implementación de un recetario de muestra</w:t>
      </w:r>
      <w:r w:rsidR="002C5F51" w:rsidRPr="002E22E5">
        <w:rPr>
          <w:rFonts w:ascii="Arial" w:hAnsi="Arial" w:cs="Arial"/>
          <w:sz w:val="24"/>
          <w:szCs w:val="24"/>
        </w:rPr>
        <w:t xml:space="preserve"> de los resultados obtenidos en el proceso.</w:t>
      </w:r>
    </w:p>
    <w:p w:rsidR="002C5F51" w:rsidRPr="002E22E5" w:rsidRDefault="002C5F51" w:rsidP="00B002EF">
      <w:pPr>
        <w:jc w:val="both"/>
        <w:rPr>
          <w:rFonts w:ascii="Arial" w:hAnsi="Arial" w:cs="Arial"/>
          <w:sz w:val="24"/>
          <w:szCs w:val="24"/>
        </w:rPr>
      </w:pPr>
      <w:r w:rsidRPr="002E22E5">
        <w:rPr>
          <w:rFonts w:ascii="Arial" w:hAnsi="Arial" w:cs="Arial"/>
          <w:sz w:val="24"/>
          <w:szCs w:val="24"/>
        </w:rPr>
        <w:t xml:space="preserve">Por lo anterior reconocemos la pregunta como punto de partida en la investigación y así mismo como estrategia metodológica dado que independientemente de las líneas temáticas que se manejen partimos de ellas para iniciar el camino hacia las posibles respuestas, ayudando a que los niños y jóvenes desarrollen habilidades y capacidades que les permita desarrollar el espíritu científico. Así mismo la propuesta metodológica invita a enfatizar </w:t>
      </w:r>
      <w:r w:rsidR="002E22E5" w:rsidRPr="002E22E5">
        <w:rPr>
          <w:rFonts w:ascii="Arial" w:hAnsi="Arial" w:cs="Arial"/>
          <w:sz w:val="24"/>
          <w:szCs w:val="24"/>
        </w:rPr>
        <w:t xml:space="preserve">en los diferentes tipos de preguntas recalcando que no hay preguntas bobas ni respuestas definitivas y nos muestran las diferentes categorías como la descripción, explicación, causal, generalización, comprobación, predicción entre otras que nos permiten darle entrada al problema de investigación como factor importante para intervenir </w:t>
      </w:r>
      <w:r w:rsidR="002E22E5">
        <w:rPr>
          <w:rFonts w:ascii="Arial" w:hAnsi="Arial" w:cs="Arial"/>
          <w:sz w:val="24"/>
          <w:szCs w:val="24"/>
        </w:rPr>
        <w:t>en los entornos cotidianos de los niños, jóvenes investigadores; teniendo claro los diferentes parámetros para formular un problema de investigación que sea claro, conciso, delimitado, que sea además medible y por último que contáramos con los recursos necesarios para realizar un impacto significativo. De esa forma logramos que los estudiantes se apropiaran de una mirada diferente a la tradicional, invitándolos a observar y a buscar soluciones de las posibles problemáticas encontradas, lo que los ayuda a saber que en cualquier contexto escuela, casa, vida personal pueden ser investigadores en búsqueda de mejorar la calidad de vida de ellos mismos y de las personas involucradas a dicho entorno.</w:t>
      </w:r>
      <w:bookmarkStart w:id="0" w:name="_GoBack"/>
      <w:bookmarkEnd w:id="0"/>
    </w:p>
    <w:sectPr w:rsidR="002C5F51" w:rsidRPr="002E22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EF"/>
    <w:rsid w:val="00223B97"/>
    <w:rsid w:val="002C5F51"/>
    <w:rsid w:val="002E22E5"/>
    <w:rsid w:val="00B002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7CAC"/>
  <w15:chartTrackingRefBased/>
  <w15:docId w15:val="{E73F0080-C41A-4DF1-A413-441B946D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 johanna vega vacca</dc:creator>
  <cp:keywords/>
  <dc:description/>
  <cp:lastModifiedBy>kely johanna vega vacca</cp:lastModifiedBy>
  <cp:revision>1</cp:revision>
  <dcterms:created xsi:type="dcterms:W3CDTF">2016-04-22T00:51:00Z</dcterms:created>
  <dcterms:modified xsi:type="dcterms:W3CDTF">2016-04-22T01:28:00Z</dcterms:modified>
</cp:coreProperties>
</file>